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41F614F9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88F7E8F" w14:textId="69199B43" w:rsidR="00560BC2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Szkoła Podstawowa w Łapalicach</w:t>
            </w:r>
          </w:p>
          <w:p w14:paraId="6D91D1AB" w14:textId="22369F5B" w:rsidR="004D4D55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Łapalice, ul. Szkolna 2, 83-300 Kartuzy</w:t>
            </w: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475D911F" w:rsidR="00945AC5" w:rsidRPr="0074622A" w:rsidRDefault="004D4D5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190392107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13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50"/>
        <w:gridCol w:w="374"/>
        <w:gridCol w:w="361"/>
        <w:gridCol w:w="350"/>
        <w:gridCol w:w="350"/>
        <w:gridCol w:w="374"/>
        <w:gridCol w:w="361"/>
        <w:gridCol w:w="289"/>
        <w:gridCol w:w="374"/>
        <w:gridCol w:w="350"/>
        <w:gridCol w:w="418"/>
        <w:gridCol w:w="338"/>
        <w:gridCol w:w="339"/>
        <w:gridCol w:w="351"/>
        <w:gridCol w:w="375"/>
        <w:gridCol w:w="339"/>
        <w:gridCol w:w="375"/>
        <w:gridCol w:w="351"/>
        <w:gridCol w:w="236"/>
        <w:gridCol w:w="236"/>
        <w:gridCol w:w="241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36"/>
      </w:tblGrid>
      <w:tr w:rsidR="004D4D55" w:rsidRPr="0074622A" w14:paraId="363E7E78" w14:textId="77777777" w:rsidTr="004D4D55">
        <w:tc>
          <w:tcPr>
            <w:tcW w:w="159" w:type="pct"/>
          </w:tcPr>
          <w:p w14:paraId="73DBA040" w14:textId="4D22AFA9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Hlk193179961"/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65" w:type="pct"/>
          </w:tcPr>
          <w:p w14:paraId="4B9FAF82" w14:textId="46B9B3B8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76" w:type="pct"/>
          </w:tcPr>
          <w:p w14:paraId="481CFC99" w14:textId="5D308511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70" w:type="pct"/>
          </w:tcPr>
          <w:p w14:paraId="1B13426A" w14:textId="296DB43F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65" w:type="pct"/>
          </w:tcPr>
          <w:p w14:paraId="4CE7A543" w14:textId="70A88AE8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65" w:type="pct"/>
          </w:tcPr>
          <w:p w14:paraId="6DBBE37D" w14:textId="0CE5E510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6" w:type="pct"/>
          </w:tcPr>
          <w:p w14:paraId="5C131EAE" w14:textId="6A91572C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0" w:type="pct"/>
          </w:tcPr>
          <w:p w14:paraId="648CE52E" w14:textId="64CA344F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36" w:type="pct"/>
          </w:tcPr>
          <w:p w14:paraId="0C410C1A" w14:textId="3C45A82C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76" w:type="pct"/>
          </w:tcPr>
          <w:p w14:paraId="3679F49F" w14:textId="575161EC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65" w:type="pct"/>
          </w:tcPr>
          <w:p w14:paraId="7FAA53EC" w14:textId="68266E94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97" w:type="pct"/>
          </w:tcPr>
          <w:p w14:paraId="44626E9C" w14:textId="256D076C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59" w:type="pct"/>
          </w:tcPr>
          <w:p w14:paraId="0F3A237A" w14:textId="62C28409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59" w:type="pct"/>
          </w:tcPr>
          <w:p w14:paraId="446FB9C4" w14:textId="5B504A40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65" w:type="pct"/>
          </w:tcPr>
          <w:p w14:paraId="0D3661C2" w14:textId="542ECE3E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76" w:type="pct"/>
          </w:tcPr>
          <w:p w14:paraId="7A5102E0" w14:textId="22AB10B1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59" w:type="pct"/>
          </w:tcPr>
          <w:p w14:paraId="10E83C72" w14:textId="17AC2CEC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76" w:type="pct"/>
          </w:tcPr>
          <w:p w14:paraId="386398A3" w14:textId="43440C50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65" w:type="pct"/>
          </w:tcPr>
          <w:p w14:paraId="5FE37A08" w14:textId="249923D8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1" w:type="pct"/>
          </w:tcPr>
          <w:p w14:paraId="34CD766C" w14:textId="68F8B51E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11" w:type="pct"/>
          </w:tcPr>
          <w:p w14:paraId="4944EE31" w14:textId="284930D1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3" w:type="pct"/>
          </w:tcPr>
          <w:p w14:paraId="7472A949" w14:textId="1AE29181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15" w:type="pct"/>
          </w:tcPr>
          <w:p w14:paraId="6DD54D67" w14:textId="00F4B199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5" w:type="pct"/>
          </w:tcPr>
          <w:p w14:paraId="2B075A3C" w14:textId="464DE2BE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15" w:type="pct"/>
          </w:tcPr>
          <w:p w14:paraId="541D8657" w14:textId="35007AA7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5" w:type="pct"/>
          </w:tcPr>
          <w:p w14:paraId="0BB78995" w14:textId="6E6E1F9F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15" w:type="pct"/>
          </w:tcPr>
          <w:p w14:paraId="1B25C1AB" w14:textId="11C0177E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5" w:type="pct"/>
          </w:tcPr>
          <w:p w14:paraId="12837ADD" w14:textId="1151F2A6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15" w:type="pct"/>
          </w:tcPr>
          <w:p w14:paraId="590D3D89" w14:textId="1EC2F357" w:rsidR="00F84D18" w:rsidRPr="0074622A" w:rsidRDefault="004D4D5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5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bookmarkEnd w:id="0"/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417959DC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Województwo ……</w:t>
            </w:r>
            <w:r w:rsidR="004D4D55">
              <w:rPr>
                <w:rFonts w:ascii="Times New Roman" w:hAnsi="Times New Roman"/>
                <w:sz w:val="21"/>
                <w:szCs w:val="21"/>
              </w:rPr>
              <w:t>POMORSKIE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1351E350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Powiat ……</w:t>
            </w:r>
            <w:r w:rsidR="004D4D55">
              <w:rPr>
                <w:rFonts w:ascii="Times New Roman" w:hAnsi="Times New Roman"/>
                <w:sz w:val="21"/>
                <w:szCs w:val="21"/>
              </w:rPr>
              <w:t>KARTUSKI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48E4D610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Gmina ……</w:t>
            </w:r>
            <w:r w:rsidR="007D26DD"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="004D4D55">
              <w:rPr>
                <w:rFonts w:ascii="Times New Roman" w:hAnsi="Times New Roman"/>
                <w:sz w:val="21"/>
                <w:szCs w:val="21"/>
              </w:rPr>
              <w:t>KARTUZY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416"/>
        <w:gridCol w:w="2461"/>
        <w:gridCol w:w="406"/>
        <w:gridCol w:w="2880"/>
        <w:gridCol w:w="408"/>
        <w:gridCol w:w="775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0DF4EFA5"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1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2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2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089A3987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1F9DA671" w:rsidR="003C0E80" w:rsidRPr="0074622A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7E0711F1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0B53B83" w14:textId="70484308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D85B2C5" w14:textId="1F408D1C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69F3AE06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4D4D55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  <w:highlight w:val="black"/>
              </w:rPr>
            </w:pPr>
            <w:r w:rsidRPr="004D4D55">
              <w:rPr>
                <w:rFonts w:ascii="Segoe UI Symbol" w:hAnsi="Segoe UI Symbol" w:cs="Segoe UI Symbol"/>
                <w:bCs/>
                <w:color w:val="000000" w:themeColor="text1"/>
                <w:highlight w:val="black"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4D4D55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  <w:highlight w:val="black"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9881F5A" w14:textId="66E0D4E1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ACEAF8" w14:textId="5A53ACCE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F2B34FD" w14:textId="571943CF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6224004A" w14:textId="7F4B4864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2DEA438" w14:textId="06252FA0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3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3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41EDABE8" w:rsidR="00AE37D9" w:rsidRPr="004D4D55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highlight w:val="black"/>
              </w:rPr>
            </w:pPr>
            <w:r w:rsidRPr="004D4D55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0EE1FF13"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D4D55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77777777" w:rsidR="00AE37D9" w:rsidRPr="004D4D55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highlight w:val="black"/>
              </w:rPr>
            </w:pPr>
            <w:r w:rsidRPr="004D4D55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DE698" w14:textId="40220EF8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A00BC95" w14:textId="59D7A000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5C9AD3C" w14:textId="75A51A4E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480140DA" w14:textId="77777777" w:rsidR="004D4D55" w:rsidRPr="0074622A" w:rsidRDefault="004D4D55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</w:p>
          <w:p w14:paraId="1CE49159" w14:textId="77777777" w:rsidR="004D4D55" w:rsidRPr="004D4D55" w:rsidRDefault="004D4D55" w:rsidP="004D4D55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4D4D55">
              <w:rPr>
                <w:rFonts w:ascii="Times New Roman" w:hAnsi="Times New Roman"/>
                <w:sz w:val="18"/>
                <w:szCs w:val="18"/>
              </w:rPr>
              <w:t>Szkoła Podstawowa w Łapalicach podejmuje działania na rzecz zapewnienia dostępności architektonicznej dla osób z niepełnosprawnościami.</w:t>
            </w:r>
          </w:p>
          <w:p w14:paraId="07A8CD37" w14:textId="77777777" w:rsidR="004D4D55" w:rsidRPr="004D4D55" w:rsidRDefault="004D4D55" w:rsidP="004D4D55">
            <w:pPr>
              <w:numPr>
                <w:ilvl w:val="0"/>
                <w:numId w:val="46"/>
              </w:num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4D4D55">
              <w:rPr>
                <w:rFonts w:ascii="Times New Roman" w:hAnsi="Times New Roman"/>
                <w:b/>
                <w:bCs/>
                <w:sz w:val="18"/>
                <w:szCs w:val="18"/>
              </w:rPr>
              <w:t>Wejście do budynku</w:t>
            </w:r>
            <w:r w:rsidRPr="004D4D55">
              <w:rPr>
                <w:rFonts w:ascii="Times New Roman" w:hAnsi="Times New Roman"/>
                <w:sz w:val="18"/>
                <w:szCs w:val="18"/>
              </w:rPr>
              <w:t>: Przed wejściem do szkoły na zewnątrz znajduje się winda, umożliwiająca dostęp osobom poruszającym się na wózkach inwalidzkich oraz osobom mającym trudności z pokonywaniem schodów.</w:t>
            </w:r>
          </w:p>
          <w:p w14:paraId="71D56E33" w14:textId="77777777" w:rsidR="004D4D55" w:rsidRPr="004D4D55" w:rsidRDefault="004D4D55" w:rsidP="004D4D55">
            <w:pPr>
              <w:numPr>
                <w:ilvl w:val="0"/>
                <w:numId w:val="46"/>
              </w:num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4D4D55">
              <w:rPr>
                <w:rFonts w:ascii="Times New Roman" w:hAnsi="Times New Roman"/>
                <w:b/>
                <w:bCs/>
                <w:sz w:val="18"/>
                <w:szCs w:val="18"/>
              </w:rPr>
              <w:t>Wewnętrzna infrastruktura</w:t>
            </w:r>
            <w:r w:rsidRPr="004D4D55">
              <w:rPr>
                <w:rFonts w:ascii="Times New Roman" w:hAnsi="Times New Roman"/>
                <w:sz w:val="18"/>
                <w:szCs w:val="18"/>
              </w:rPr>
              <w:t>: W budynku znajdują się barierki przy schodach, które zwiększają bezpieczeństwo i ułatwiają poruszanie się osobom z ograniczoną mobilnością.</w:t>
            </w:r>
          </w:p>
          <w:p w14:paraId="23F195B6" w14:textId="77777777" w:rsidR="004D4D55" w:rsidRPr="004D4D55" w:rsidRDefault="004D4D55" w:rsidP="004D4D55">
            <w:pPr>
              <w:numPr>
                <w:ilvl w:val="0"/>
                <w:numId w:val="46"/>
              </w:num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4D4D55">
              <w:rPr>
                <w:rFonts w:ascii="Times New Roman" w:hAnsi="Times New Roman"/>
                <w:b/>
                <w:bCs/>
                <w:sz w:val="18"/>
                <w:szCs w:val="18"/>
              </w:rPr>
              <w:t>Toalety</w:t>
            </w:r>
            <w:r w:rsidRPr="004D4D55">
              <w:rPr>
                <w:rFonts w:ascii="Times New Roman" w:hAnsi="Times New Roman"/>
                <w:sz w:val="18"/>
                <w:szCs w:val="18"/>
              </w:rPr>
              <w:t>: W szkole dostępna jest łazienka przystosowana do potrzeb osób z niepełnosprawnościami, wyposażona w odpowiednie uchwyty oraz przestrzeń umożliwiającą wygodne korzystanie.</w:t>
            </w:r>
          </w:p>
          <w:p w14:paraId="0A24106C" w14:textId="2315F855" w:rsidR="00F34B52" w:rsidRPr="0074622A" w:rsidRDefault="00F34B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4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5" w:name="_Hlk156381352"/>
            <w:bookmarkStart w:id="6" w:name="_Hlk156381411"/>
            <w:bookmarkEnd w:id="4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7321CBB3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7290906E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D4D5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5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19E696F4" w:rsidR="00460B99" w:rsidRPr="0074622A" w:rsidRDefault="004D4D55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55">
              <w:rPr>
                <w:rFonts w:ascii="Times New Roman" w:hAnsi="Times New Roman"/>
                <w:sz w:val="20"/>
                <w:szCs w:val="20"/>
              </w:rPr>
              <w:t>https://splapalice.edu.pl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D55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6"/>
      <w:tr w:rsidR="0074622A" w:rsidRPr="0074622A" w14:paraId="0DFF61EC" w14:textId="77777777" w:rsidTr="006B15CF">
        <w:trPr>
          <w:trHeight w:val="25"/>
        </w:trPr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0E00DAEC" w14:textId="51DB4036" w:rsidR="006B15C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D091220" w14:textId="77777777" w:rsidR="006B15CF" w:rsidRPr="006B15CF" w:rsidRDefault="006B15CF" w:rsidP="006B15CF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6B15CF">
              <w:rPr>
                <w:rFonts w:ascii="Times New Roman" w:hAnsi="Times New Roman"/>
                <w:sz w:val="18"/>
                <w:szCs w:val="18"/>
              </w:rPr>
              <w:t>Dostępne są narzędzia ułatwiające korzystanie ze strony:</w:t>
            </w:r>
          </w:p>
          <w:p w14:paraId="40094797" w14:textId="77777777" w:rsidR="006B15CF" w:rsidRPr="006B15CF" w:rsidRDefault="006B15CF" w:rsidP="006B15CF">
            <w:pPr>
              <w:numPr>
                <w:ilvl w:val="0"/>
                <w:numId w:val="47"/>
              </w:num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Zmiana wielkości tekstu</w:t>
            </w:r>
            <w:r w:rsidRPr="006B15CF">
              <w:rPr>
                <w:rFonts w:ascii="Times New Roman" w:hAnsi="Times New Roman"/>
                <w:sz w:val="18"/>
                <w:szCs w:val="18"/>
              </w:rPr>
              <w:t xml:space="preserve"> (powiększanie, zmniejszanie),</w:t>
            </w:r>
          </w:p>
          <w:p w14:paraId="3F0C5042" w14:textId="77777777" w:rsidR="006B15CF" w:rsidRPr="006B15CF" w:rsidRDefault="006B15CF" w:rsidP="006B15CF">
            <w:pPr>
              <w:numPr>
                <w:ilvl w:val="0"/>
                <w:numId w:val="47"/>
              </w:num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Tryby kontrastu</w:t>
            </w:r>
            <w:r w:rsidRPr="006B15CF">
              <w:rPr>
                <w:rFonts w:ascii="Times New Roman" w:hAnsi="Times New Roman"/>
                <w:sz w:val="18"/>
                <w:szCs w:val="18"/>
              </w:rPr>
              <w:t xml:space="preserve"> (wysoki, negatywny, skala szarości, jasne tło),</w:t>
            </w:r>
          </w:p>
          <w:p w14:paraId="566FDD1A" w14:textId="18824375" w:rsidR="006B15CF" w:rsidRPr="006B15CF" w:rsidRDefault="006B15CF" w:rsidP="006B15CF">
            <w:pPr>
              <w:numPr>
                <w:ilvl w:val="0"/>
                <w:numId w:val="47"/>
              </w:num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Podkreślanie linków</w:t>
            </w:r>
            <w:r w:rsidRPr="006B15C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czytelna strona</w:t>
            </w:r>
          </w:p>
          <w:p w14:paraId="429BD4AB" w14:textId="77777777" w:rsidR="006B15CF" w:rsidRPr="006B15CF" w:rsidRDefault="006B15CF" w:rsidP="006B15CF">
            <w:pPr>
              <w:numPr>
                <w:ilvl w:val="0"/>
                <w:numId w:val="47"/>
              </w:num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Funkcja "Skip to </w:t>
            </w:r>
            <w:proofErr w:type="spellStart"/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content</w:t>
            </w:r>
            <w:proofErr w:type="spellEnd"/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"</w:t>
            </w:r>
            <w:r w:rsidRPr="006B15CF">
              <w:rPr>
                <w:rFonts w:ascii="Times New Roman" w:hAnsi="Times New Roman"/>
                <w:sz w:val="18"/>
                <w:szCs w:val="18"/>
              </w:rPr>
              <w:t xml:space="preserve"> – szybki dostęp do treści,</w:t>
            </w:r>
          </w:p>
          <w:p w14:paraId="6F3A720B" w14:textId="77777777" w:rsidR="006B15CF" w:rsidRPr="006B15CF" w:rsidRDefault="006B15CF" w:rsidP="006B15CF">
            <w:pPr>
              <w:numPr>
                <w:ilvl w:val="0"/>
                <w:numId w:val="47"/>
              </w:num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Mapa strony</w:t>
            </w:r>
            <w:r w:rsidRPr="006B15CF">
              <w:rPr>
                <w:rFonts w:ascii="Times New Roman" w:hAnsi="Times New Roman"/>
                <w:sz w:val="18"/>
                <w:szCs w:val="18"/>
              </w:rPr>
              <w:t xml:space="preserve"> – ułatwiona nawigacja.</w:t>
            </w:r>
          </w:p>
          <w:p w14:paraId="30360C9A" w14:textId="77777777" w:rsidR="006B15CF" w:rsidRPr="006B15CF" w:rsidRDefault="006B15CF" w:rsidP="006B15CF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6B15CF">
              <w:rPr>
                <w:rFonts w:ascii="Times New Roman" w:hAnsi="Times New Roman"/>
                <w:sz w:val="18"/>
                <w:szCs w:val="18"/>
              </w:rPr>
              <w:t>Wszelkie uwagi dotyczące dostępności można zgłaszać poprzez formularz kontaktowy na stronie.</w:t>
            </w:r>
          </w:p>
          <w:p w14:paraId="569E3260" w14:textId="39BE8535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7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7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5F243FFB" w:rsidR="009A09A3" w:rsidRPr="006B15CF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highlight w:val="black"/>
              </w:rPr>
            </w:pP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6B15CF"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3DB1B1D9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3C51666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6ED5188" w:rsidR="009A09A3" w:rsidRPr="0074622A" w:rsidRDefault="001F70D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8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8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13FD77F5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6EF9A25A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2C1EA657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662C78A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48AE81F9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6B15CF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5CF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7EADD4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5CF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5CF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3CBC8C24" w:rsidR="00F64545" w:rsidRPr="0074622A" w:rsidRDefault="00F64545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6B15CF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202EB68" w14:textId="77777777" w:rsidR="006B15CF" w:rsidRPr="006B15CF" w:rsidRDefault="006B15CF" w:rsidP="006B15CF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6B15CF">
              <w:rPr>
                <w:rFonts w:ascii="Times New Roman" w:hAnsi="Times New Roman"/>
                <w:sz w:val="18"/>
                <w:szCs w:val="18"/>
              </w:rPr>
              <w:t xml:space="preserve">  </w:t>
            </w: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Kontakt i komunikacja</w:t>
            </w:r>
            <w:r w:rsidRPr="006B15CF">
              <w:rPr>
                <w:rFonts w:ascii="Times New Roman" w:hAnsi="Times New Roman"/>
                <w:sz w:val="18"/>
                <w:szCs w:val="18"/>
              </w:rPr>
              <w:t xml:space="preserve">: Możliwość kontaktu telefonicznego, e-mailowego oraz osobistego, a także wsparcie w komunikacji dla osób ze szczególnymi potrzebami. </w:t>
            </w:r>
          </w:p>
          <w:p w14:paraId="58BB535B" w14:textId="10F57652" w:rsidR="00897444" w:rsidRPr="0074622A" w:rsidRDefault="006B15CF" w:rsidP="006B15CF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6B15CF">
              <w:rPr>
                <w:rFonts w:ascii="Times New Roman" w:hAnsi="Times New Roman"/>
                <w:sz w:val="18"/>
                <w:szCs w:val="18"/>
              </w:rPr>
              <w:t xml:space="preserve">  </w:t>
            </w: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Strona internetowa</w:t>
            </w:r>
            <w:r w:rsidRPr="006B15CF">
              <w:rPr>
                <w:rFonts w:ascii="Times New Roman" w:hAnsi="Times New Roman"/>
                <w:sz w:val="18"/>
                <w:szCs w:val="18"/>
              </w:rPr>
              <w:t xml:space="preserve">: Spełnia standardy </w:t>
            </w:r>
            <w:r w:rsidRPr="006B15CF">
              <w:rPr>
                <w:rFonts w:ascii="Times New Roman" w:hAnsi="Times New Roman"/>
                <w:b/>
                <w:bCs/>
                <w:sz w:val="18"/>
                <w:szCs w:val="18"/>
              </w:rPr>
              <w:t>WCAG 2.1 na poziomie AA</w:t>
            </w:r>
            <w:r w:rsidRPr="006B15CF">
              <w:rPr>
                <w:rFonts w:ascii="Times New Roman" w:hAnsi="Times New Roman"/>
                <w:sz w:val="18"/>
                <w:szCs w:val="18"/>
              </w:rPr>
              <w:t>, oferuje narzędzia ułatwiające dostępność (zmiana kontrastu, powiększenie tekstu, czytelna czcionka).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B15CF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0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9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1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77777777" w:rsidR="009865CC" w:rsidRPr="006B15CF" w:rsidRDefault="009865CC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  <w:highlight w:val="black"/>
              </w:rPr>
            </w:pPr>
            <w:r w:rsidRPr="006B15CF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</w:tr>
      <w:bookmarkEnd w:id="11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2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2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7CC95E43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6B15CF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6B15CF">
                    <w:rPr>
                      <w:rFonts w:ascii="MS Gothic" w:eastAsia="MS Gothic" w:hAnsi="MS Gothic" w:hint="eastAsia"/>
                      <w:sz w:val="28"/>
                      <w:szCs w:val="28"/>
                      <w:highlight w:val="black"/>
                    </w:rPr>
                    <w:t>☐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00338CF7" w:rsidR="00FF3ED3" w:rsidRPr="0074622A" w:rsidRDefault="006B15CF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58 681 21 27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4B621C75" w:rsidR="00FF3ED3" w:rsidRPr="0074622A" w:rsidRDefault="006B15CF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Łapalice, 12.03.2025r.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W w:w="5013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47"/>
        <w:gridCol w:w="375"/>
        <w:gridCol w:w="362"/>
        <w:gridCol w:w="349"/>
        <w:gridCol w:w="349"/>
        <w:gridCol w:w="375"/>
        <w:gridCol w:w="362"/>
        <w:gridCol w:w="290"/>
        <w:gridCol w:w="375"/>
        <w:gridCol w:w="349"/>
        <w:gridCol w:w="417"/>
        <w:gridCol w:w="339"/>
        <w:gridCol w:w="339"/>
        <w:gridCol w:w="351"/>
        <w:gridCol w:w="375"/>
        <w:gridCol w:w="339"/>
        <w:gridCol w:w="375"/>
        <w:gridCol w:w="351"/>
        <w:gridCol w:w="236"/>
        <w:gridCol w:w="236"/>
        <w:gridCol w:w="241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36"/>
      </w:tblGrid>
      <w:tr w:rsidR="006B15CF" w:rsidRPr="006B15CF" w14:paraId="77E0CC18" w14:textId="77777777" w:rsidTr="006B15CF">
        <w:tc>
          <w:tcPr>
            <w:tcW w:w="159" w:type="pct"/>
          </w:tcPr>
          <w:p w14:paraId="498B07C3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S</w:t>
            </w:r>
          </w:p>
        </w:tc>
        <w:tc>
          <w:tcPr>
            <w:tcW w:w="163" w:type="pct"/>
          </w:tcPr>
          <w:p w14:paraId="75B5ADA3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E</w:t>
            </w:r>
          </w:p>
        </w:tc>
        <w:tc>
          <w:tcPr>
            <w:tcW w:w="176" w:type="pct"/>
          </w:tcPr>
          <w:p w14:paraId="55D33256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K</w:t>
            </w:r>
          </w:p>
        </w:tc>
        <w:tc>
          <w:tcPr>
            <w:tcW w:w="170" w:type="pct"/>
          </w:tcPr>
          <w:p w14:paraId="223EEB48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R</w:t>
            </w:r>
          </w:p>
        </w:tc>
        <w:tc>
          <w:tcPr>
            <w:tcW w:w="164" w:type="pct"/>
          </w:tcPr>
          <w:p w14:paraId="62D4DB0F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E</w:t>
            </w:r>
          </w:p>
        </w:tc>
        <w:tc>
          <w:tcPr>
            <w:tcW w:w="164" w:type="pct"/>
          </w:tcPr>
          <w:p w14:paraId="1AE4A73E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T</w:t>
            </w:r>
          </w:p>
        </w:tc>
        <w:tc>
          <w:tcPr>
            <w:tcW w:w="176" w:type="pct"/>
          </w:tcPr>
          <w:p w14:paraId="50F0B25D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A</w:t>
            </w:r>
          </w:p>
        </w:tc>
        <w:tc>
          <w:tcPr>
            <w:tcW w:w="170" w:type="pct"/>
          </w:tcPr>
          <w:p w14:paraId="3CF78682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R</w:t>
            </w:r>
          </w:p>
        </w:tc>
        <w:tc>
          <w:tcPr>
            <w:tcW w:w="136" w:type="pct"/>
          </w:tcPr>
          <w:p w14:paraId="7EEFF234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I</w:t>
            </w:r>
          </w:p>
        </w:tc>
        <w:tc>
          <w:tcPr>
            <w:tcW w:w="176" w:type="pct"/>
          </w:tcPr>
          <w:p w14:paraId="562BB1F2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A</w:t>
            </w:r>
          </w:p>
        </w:tc>
        <w:tc>
          <w:tcPr>
            <w:tcW w:w="164" w:type="pct"/>
          </w:tcPr>
          <w:p w14:paraId="655670E5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T</w:t>
            </w:r>
          </w:p>
        </w:tc>
        <w:tc>
          <w:tcPr>
            <w:tcW w:w="196" w:type="pct"/>
          </w:tcPr>
          <w:p w14:paraId="4035F52E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@</w:t>
            </w:r>
          </w:p>
        </w:tc>
        <w:tc>
          <w:tcPr>
            <w:tcW w:w="159" w:type="pct"/>
          </w:tcPr>
          <w:p w14:paraId="710BC671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S</w:t>
            </w:r>
          </w:p>
        </w:tc>
        <w:tc>
          <w:tcPr>
            <w:tcW w:w="159" w:type="pct"/>
          </w:tcPr>
          <w:p w14:paraId="6BC8C9FF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P</w:t>
            </w:r>
          </w:p>
        </w:tc>
        <w:tc>
          <w:tcPr>
            <w:tcW w:w="165" w:type="pct"/>
          </w:tcPr>
          <w:p w14:paraId="10FA19AD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L</w:t>
            </w:r>
          </w:p>
        </w:tc>
        <w:tc>
          <w:tcPr>
            <w:tcW w:w="176" w:type="pct"/>
          </w:tcPr>
          <w:p w14:paraId="65B7B3D3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A</w:t>
            </w:r>
          </w:p>
        </w:tc>
        <w:tc>
          <w:tcPr>
            <w:tcW w:w="159" w:type="pct"/>
          </w:tcPr>
          <w:p w14:paraId="537A8569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P</w:t>
            </w:r>
          </w:p>
        </w:tc>
        <w:tc>
          <w:tcPr>
            <w:tcW w:w="176" w:type="pct"/>
          </w:tcPr>
          <w:p w14:paraId="1E5CEC3B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A</w:t>
            </w:r>
          </w:p>
        </w:tc>
        <w:tc>
          <w:tcPr>
            <w:tcW w:w="165" w:type="pct"/>
          </w:tcPr>
          <w:p w14:paraId="6DDF5A2A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L</w:t>
            </w:r>
          </w:p>
        </w:tc>
        <w:tc>
          <w:tcPr>
            <w:tcW w:w="111" w:type="pct"/>
          </w:tcPr>
          <w:p w14:paraId="2C92E915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I</w:t>
            </w:r>
          </w:p>
        </w:tc>
        <w:tc>
          <w:tcPr>
            <w:tcW w:w="111" w:type="pct"/>
          </w:tcPr>
          <w:p w14:paraId="1B048CCB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C</w:t>
            </w:r>
          </w:p>
        </w:tc>
        <w:tc>
          <w:tcPr>
            <w:tcW w:w="113" w:type="pct"/>
          </w:tcPr>
          <w:p w14:paraId="189A0A23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E</w:t>
            </w:r>
          </w:p>
        </w:tc>
        <w:tc>
          <w:tcPr>
            <w:tcW w:w="115" w:type="pct"/>
          </w:tcPr>
          <w:p w14:paraId="688391A4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.</w:t>
            </w:r>
          </w:p>
        </w:tc>
        <w:tc>
          <w:tcPr>
            <w:tcW w:w="115" w:type="pct"/>
          </w:tcPr>
          <w:p w14:paraId="1A7731DF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E</w:t>
            </w:r>
          </w:p>
        </w:tc>
        <w:tc>
          <w:tcPr>
            <w:tcW w:w="115" w:type="pct"/>
          </w:tcPr>
          <w:p w14:paraId="69C10410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D</w:t>
            </w:r>
          </w:p>
        </w:tc>
        <w:tc>
          <w:tcPr>
            <w:tcW w:w="115" w:type="pct"/>
          </w:tcPr>
          <w:p w14:paraId="2CC5C1AA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U</w:t>
            </w:r>
          </w:p>
        </w:tc>
        <w:tc>
          <w:tcPr>
            <w:tcW w:w="115" w:type="pct"/>
          </w:tcPr>
          <w:p w14:paraId="39A36728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.</w:t>
            </w:r>
          </w:p>
        </w:tc>
        <w:tc>
          <w:tcPr>
            <w:tcW w:w="115" w:type="pct"/>
          </w:tcPr>
          <w:p w14:paraId="4CB93F8C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P</w:t>
            </w:r>
          </w:p>
        </w:tc>
        <w:tc>
          <w:tcPr>
            <w:tcW w:w="115" w:type="pct"/>
          </w:tcPr>
          <w:p w14:paraId="79C7CBC7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15CF">
              <w:rPr>
                <w:rFonts w:ascii="Times New Roman" w:hAnsi="Times New Roman"/>
              </w:rPr>
              <w:t>L</w:t>
            </w:r>
          </w:p>
        </w:tc>
        <w:tc>
          <w:tcPr>
            <w:tcW w:w="115" w:type="pct"/>
          </w:tcPr>
          <w:p w14:paraId="00E17D0B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" w:type="pct"/>
          </w:tcPr>
          <w:p w14:paraId="6586CA43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" w:type="pct"/>
          </w:tcPr>
          <w:p w14:paraId="7F0A602D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" w:type="pct"/>
          </w:tcPr>
          <w:p w14:paraId="4C18A2F8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" w:type="pct"/>
          </w:tcPr>
          <w:p w14:paraId="6830F169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38AA49DF" w14:textId="77777777" w:rsidR="006B15CF" w:rsidRPr="006B15CF" w:rsidRDefault="006B15CF" w:rsidP="006B15CF">
            <w:pPr>
              <w:framePr w:hSpace="141" w:wrap="around" w:vAnchor="text" w:hAnchor="margin" w:y="-604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art.11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3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3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4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4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Braille’a),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5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5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pkt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) oraz komunikatory internetowe (Skype,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Content Accessibility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892DB0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6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6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D251" w14:textId="77777777" w:rsidR="009E5B0E" w:rsidRDefault="009E5B0E" w:rsidP="005840AE">
      <w:pPr>
        <w:spacing w:after="0" w:line="240" w:lineRule="auto"/>
      </w:pPr>
      <w:r>
        <w:separator/>
      </w:r>
    </w:p>
  </w:endnote>
  <w:endnote w:type="continuationSeparator" w:id="0">
    <w:p w14:paraId="23F8EB53" w14:textId="77777777" w:rsidR="009E5B0E" w:rsidRDefault="009E5B0E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56AF" w14:textId="77777777" w:rsidR="009E5B0E" w:rsidRDefault="009E5B0E" w:rsidP="005840AE">
      <w:pPr>
        <w:spacing w:after="0" w:line="240" w:lineRule="auto"/>
      </w:pPr>
      <w:r>
        <w:separator/>
      </w:r>
    </w:p>
  </w:footnote>
  <w:footnote w:type="continuationSeparator" w:id="0">
    <w:p w14:paraId="5BBDF4C4" w14:textId="77777777" w:rsidR="009E5B0E" w:rsidRDefault="009E5B0E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3CEA" w14:textId="5BD97A25" w:rsidR="00290310" w:rsidRPr="00290310" w:rsidRDefault="00290310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6632C7" w:rsidRPr="006632C7">
          <w:rPr>
            <w:rFonts w:ascii="Times New Roman" w:hAnsi="Times New Roman"/>
            <w:noProof/>
            <w:lang w:val="pl-PL"/>
          </w:rPr>
          <w:t>10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731CD4" w:rsidRPr="008F642B" w:rsidRDefault="00731CD4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13E608F"/>
    <w:multiLevelType w:val="multilevel"/>
    <w:tmpl w:val="2934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5" w15:restartNumberingAfterBreak="0">
    <w:nsid w:val="529324E4"/>
    <w:multiLevelType w:val="multilevel"/>
    <w:tmpl w:val="DF66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4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2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258103">
    <w:abstractNumId w:val="1"/>
  </w:num>
  <w:num w:numId="2" w16cid:durableId="234241918">
    <w:abstractNumId w:val="36"/>
  </w:num>
  <w:num w:numId="3" w16cid:durableId="1483154851">
    <w:abstractNumId w:val="4"/>
  </w:num>
  <w:num w:numId="4" w16cid:durableId="522784533">
    <w:abstractNumId w:val="18"/>
  </w:num>
  <w:num w:numId="5" w16cid:durableId="1767312382">
    <w:abstractNumId w:val="9"/>
  </w:num>
  <w:num w:numId="6" w16cid:durableId="933628743">
    <w:abstractNumId w:val="31"/>
  </w:num>
  <w:num w:numId="7" w16cid:durableId="1954942120">
    <w:abstractNumId w:val="20"/>
  </w:num>
  <w:num w:numId="8" w16cid:durableId="1377729722">
    <w:abstractNumId w:val="39"/>
  </w:num>
  <w:num w:numId="9" w16cid:durableId="1360739918">
    <w:abstractNumId w:val="7"/>
  </w:num>
  <w:num w:numId="10" w16cid:durableId="1421676069">
    <w:abstractNumId w:val="42"/>
  </w:num>
  <w:num w:numId="11" w16cid:durableId="2042977807">
    <w:abstractNumId w:val="15"/>
  </w:num>
  <w:num w:numId="12" w16cid:durableId="600188297">
    <w:abstractNumId w:val="21"/>
  </w:num>
  <w:num w:numId="13" w16cid:durableId="1090467657">
    <w:abstractNumId w:val="46"/>
  </w:num>
  <w:num w:numId="14" w16cid:durableId="497622809">
    <w:abstractNumId w:val="16"/>
  </w:num>
  <w:num w:numId="15" w16cid:durableId="226384770">
    <w:abstractNumId w:val="22"/>
  </w:num>
  <w:num w:numId="16" w16cid:durableId="669219108">
    <w:abstractNumId w:val="40"/>
  </w:num>
  <w:num w:numId="17" w16cid:durableId="32854260">
    <w:abstractNumId w:val="12"/>
  </w:num>
  <w:num w:numId="18" w16cid:durableId="154151659">
    <w:abstractNumId w:val="19"/>
  </w:num>
  <w:num w:numId="19" w16cid:durableId="145630037">
    <w:abstractNumId w:val="43"/>
  </w:num>
  <w:num w:numId="20" w16cid:durableId="1242443713">
    <w:abstractNumId w:val="26"/>
  </w:num>
  <w:num w:numId="21" w16cid:durableId="847987276">
    <w:abstractNumId w:val="10"/>
  </w:num>
  <w:num w:numId="22" w16cid:durableId="1042826098">
    <w:abstractNumId w:val="11"/>
  </w:num>
  <w:num w:numId="23" w16cid:durableId="1298950965">
    <w:abstractNumId w:val="0"/>
  </w:num>
  <w:num w:numId="24" w16cid:durableId="204759497">
    <w:abstractNumId w:val="5"/>
  </w:num>
  <w:num w:numId="25" w16cid:durableId="739136553">
    <w:abstractNumId w:val="27"/>
  </w:num>
  <w:num w:numId="26" w16cid:durableId="901602035">
    <w:abstractNumId w:val="34"/>
  </w:num>
  <w:num w:numId="27" w16cid:durableId="702170538">
    <w:abstractNumId w:val="45"/>
  </w:num>
  <w:num w:numId="28" w16cid:durableId="2048069190">
    <w:abstractNumId w:val="3"/>
  </w:num>
  <w:num w:numId="29" w16cid:durableId="769131178">
    <w:abstractNumId w:val="30"/>
  </w:num>
  <w:num w:numId="30" w16cid:durableId="2111507000">
    <w:abstractNumId w:val="32"/>
  </w:num>
  <w:num w:numId="31" w16cid:durableId="1947038133">
    <w:abstractNumId w:val="23"/>
  </w:num>
  <w:num w:numId="32" w16cid:durableId="1107192043">
    <w:abstractNumId w:val="35"/>
  </w:num>
  <w:num w:numId="33" w16cid:durableId="338773951">
    <w:abstractNumId w:val="6"/>
  </w:num>
  <w:num w:numId="34" w16cid:durableId="683479766">
    <w:abstractNumId w:val="13"/>
  </w:num>
  <w:num w:numId="35" w16cid:durableId="1904753249">
    <w:abstractNumId w:val="44"/>
  </w:num>
  <w:num w:numId="36" w16cid:durableId="1378359114">
    <w:abstractNumId w:val="38"/>
  </w:num>
  <w:num w:numId="37" w16cid:durableId="409234556">
    <w:abstractNumId w:val="29"/>
  </w:num>
  <w:num w:numId="38" w16cid:durableId="914826532">
    <w:abstractNumId w:val="28"/>
  </w:num>
  <w:num w:numId="39" w16cid:durableId="101344641">
    <w:abstractNumId w:val="14"/>
  </w:num>
  <w:num w:numId="40" w16cid:durableId="1504587970">
    <w:abstractNumId w:val="2"/>
  </w:num>
  <w:num w:numId="41" w16cid:durableId="1956864972">
    <w:abstractNumId w:val="37"/>
  </w:num>
  <w:num w:numId="42" w16cid:durableId="281810026">
    <w:abstractNumId w:val="8"/>
  </w:num>
  <w:num w:numId="43" w16cid:durableId="1952129162">
    <w:abstractNumId w:val="33"/>
  </w:num>
  <w:num w:numId="44" w16cid:durableId="279262912">
    <w:abstractNumId w:val="41"/>
  </w:num>
  <w:num w:numId="45" w16cid:durableId="1704405491">
    <w:abstractNumId w:val="24"/>
  </w:num>
  <w:num w:numId="46" w16cid:durableId="1440948653">
    <w:abstractNumId w:val="17"/>
  </w:num>
  <w:num w:numId="47" w16cid:durableId="12910108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646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7BA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4D55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CF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C7B84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0E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2BE6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5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5.xml><?xml version="1.0" encoding="utf-8"?>
<ds:datastoreItem xmlns:ds="http://schemas.openxmlformats.org/officeDocument/2006/customXml" ds:itemID="{6596D0A2-93D3-4146-8B52-D237521FEEA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6280</Words>
  <Characters>37685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Martyna Warmowska</cp:lastModifiedBy>
  <cp:revision>2</cp:revision>
  <cp:lastPrinted>2024-05-20T08:37:00Z</cp:lastPrinted>
  <dcterms:created xsi:type="dcterms:W3CDTF">2025-03-18T07:56:00Z</dcterms:created>
  <dcterms:modified xsi:type="dcterms:W3CDTF">2025-03-18T07:56:00Z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